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Торакальная хирургия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Торакальная хирургия | Записей: 1 | Кейс: 1 | Вопросов: 12</w:t>
      </w:r>
    </w:p>
    <w:p>
      <w:r>
        <w:br w:type="page"/>
      </w:r>
    </w:p>
    <w:p>
      <w:pPr>
        <w:pStyle w:val="Heading1"/>
      </w:pPr>
      <w:r>
        <w:t>Торакальная хирургия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Торакальная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Л., 65 лет, обратился к терапевту.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кровохарканье, кашель с выделением большого количества мокроты, повышение температуры до 37,9°С, одышку при физических нагрузках.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Рос и развивался нормально</w:t>
      </w:r>
    </w:p>
    <w:p>
      <w:pPr>
        <w:spacing w:after="58"/>
      </w:pPr>
      <w:r>
        <w:rPr>
          <w:b w:val="0"/>
          <w:i w:val="0"/>
        </w:rPr>
        <w:t>* Профессия: пенсионер</w:t>
      </w:r>
    </w:p>
    <w:p>
      <w:pPr>
        <w:spacing w:after="58"/>
      </w:pPr>
      <w:r>
        <w:rPr>
          <w:b w:val="0"/>
          <w:i w:val="0"/>
        </w:rPr>
        <w:t>* Перенесенные заболевания и операции: отрицает</w:t>
      </w:r>
    </w:p>
    <w:p>
      <w:pPr>
        <w:spacing w:after="58"/>
      </w:pPr>
      <w:r>
        <w:rPr>
          <w:b w:val="0"/>
          <w:i w:val="0"/>
        </w:rPr>
        <w:t>* Наследственность: не отягощена</w:t>
      </w:r>
    </w:p>
    <w:p>
      <w:pPr>
        <w:spacing w:after="58"/>
      </w:pPr>
      <w:r>
        <w:rPr>
          <w:b w:val="0"/>
          <w:i w:val="0"/>
        </w:rPr>
        <w:t>* Вредные привычки: курение в течение 15 лет по 15 сигарет в день</w:t>
      </w:r>
    </w:p>
    <w:p>
      <w:pPr>
        <w:spacing w:after="58"/>
      </w:pPr>
      <w:r>
        <w:rPr>
          <w:b w:val="0"/>
          <w:i w:val="0"/>
        </w:rPr>
        <w:t>* Аллергоанамнез: не отягощен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В течение 20 лет отмечает кашель с выделением слизисто-гнойной мокроты.</w:t>
      </w:r>
    </w:p>
    <w:p>
      <w:pPr>
        <w:spacing w:after="58"/>
      </w:pPr>
      <w:r>
        <w:rPr>
          <w:b w:val="0"/>
          <w:i w:val="0"/>
        </w:rPr>
        <w:t>* Полгода назад в течение 5 дней отмечалось кровохарканье, в больницу не обращался.</w:t>
      </w:r>
    </w:p>
    <w:p>
      <w:pPr>
        <w:spacing w:after="58"/>
      </w:pPr>
      <w:r>
        <w:rPr>
          <w:b w:val="0"/>
          <w:i w:val="0"/>
        </w:rPr>
        <w:t>* Десять дней назад вновь усилился кашель, в мокроте снова появились прожилки крови, мокрота стала гнойной, повысилась температура тела.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степени тяжести. Нормостенический тип телосложения, ИМТ 21,5 кг/м2, температура тела 37,3°С. Периферические лимфатические узлы не увеличены, безболезненны. Грудная клетка имеет вид неправильного конуса, левая половина грудной клетке отстает при акте дыхания, при перкуссии - в нижних отделах левого легкого притупление перкуторного звука, в этой зоне - резкое ослабление дыхания при аускультации, дополнительных дыхательных шумов нет. ЧДД 20 в минуту, SpO2 - 96%. Тоны сердца ритмичные, пульс ритмичный, удовлетворительного наполнения и напряжения, частота 82 в минуту. АД одинаковое на обеих руках, 120/86 мм рт. ст. Живот мягкий, безболезненный при пальпации. Печень не выступает из-под края реберной дуги, селезенка не пальпируется. Физиологические отправления без особенностей. Отеков нет.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Для постановки диагноза данному пациенту в амбулаторных условиях необходимо выполнить лабораторное исследование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определение МВ-КФК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клинический анализ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определение D-димера в сыворотке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определение гликированного гемоглобина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определение С-реактивного белка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общий анализ мокроты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клинический анализ крови; определение D-димера в сыворотке крови; общий анализ мокроты</w:t>
      </w:r>
    </w:p>
    <w:p>
      <w:pPr>
        <w:ind w:left="504"/>
      </w:pPr>
      <w:r>
        <w:rPr>
          <w:b w:val="0"/>
          <w:i/>
        </w:rPr>
        <w:t>Рекомендовано выполнять клинический анализ крови, биохимический анализ крови, общий анализ мокроты.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Рак легкого, 2018</w:t>
        </w:r>
      </w:hyperlink>
      <w:r>
        <w:rPr>
          <w:b w:val="0"/>
          <w:i/>
        </w:rPr>
        <w:br/>
        <w:br/>
        <w:t>(Клинические рекомендации Министерства здравоохранения Российской Федерации "Рак легкого", 2018 год, Раздел Диагностика, Лабораторная диагностика, стр.14)</w:t>
      </w:r>
    </w:p>
    <w:p>
      <w:pPr>
        <w:ind w:left="504"/>
      </w:pPr>
      <w:r>
        <w:rPr>
          <w:b w:val="0"/>
          <w:i/>
        </w:rPr>
        <w:t>Данное обследование необходимо для оценки вероятности тромбоэмболии лёгочной артерии с учетом кровохарканья и одышки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Рак легкого, 2018</w:t>
        </w:r>
      </w:hyperlink>
      <w:r>
        <w:rPr>
          <w:b w:val="0"/>
          <w:i/>
        </w:rPr>
        <w:br/>
        <w:br/>
        <w:t>(Клинические рекомендации Министерства здравоохранения Российской Федерации "Рак легкого", 2018 год, Раздел Диагностика, стр. 13-14)</w:t>
      </w:r>
    </w:p>
    <w:p>
      <w:pPr>
        <w:ind w:left="504"/>
      </w:pPr>
      <w:r>
        <w:rPr>
          <w:b w:val="0"/>
          <w:i/>
        </w:rPr>
        <w:t>Рекомендовано выполнять клинический анализ крови, биохимический анализ крови, общий анализ мокроты (для оценки клеточного состава, возможного определения атипичных клеток).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Рак легкого, 2018</w:t>
        </w:r>
      </w:hyperlink>
      <w:r>
        <w:rPr>
          <w:b w:val="0"/>
          <w:i/>
        </w:rPr>
        <w:br/>
        <w:br/>
        <w:t>(Клинические рекомендации Министерства здравоохранения Российской Федерации "Рак легкого", 2018 год, Раздел Диагностика, Лабораторная диагностика, стр.14)</w:t>
      </w:r>
    </w:p>
    <w:p>
      <w:pPr>
        <w:pStyle w:val="Heading2"/>
      </w:pPr>
      <w:r>
        <w:t>3. Результаты лабораторных исследований</w:t>
      </w:r>
    </w:p>
    <w:p>
      <w:pPr>
        <w:pStyle w:val="Heading3"/>
      </w:pPr>
      <w:r>
        <w:t>3.1. Клинический анализ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Показатель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Результат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Нормы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Эритроциты (RBC), *1012/л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м. 4,4-5,0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Гемоглобин (Hb), г/л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108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м. 130-160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Гематокрит (HCT),%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м. 39-49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Цветовой показатель (ЦП)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0,81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0,8-1,0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Усреднённое значение объёма эритроцита (MCV), (фл)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70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80-100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Среднее содержание гемоглобина в эритроците (MCH), (пг)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27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26-34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Средняя концентрация гемоглобина в эритроците (MCHC), г/дл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36,6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32,0-37,0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Ретикулоциты (RET), ‰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2-12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Тромбоциты (PLT), *109/л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300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180-320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Лейкоциты (WBC), *109/л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11,1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4-9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*Лейкоцитарная формула*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Нейтрофилы палочкоядерные, 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8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1-6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Нейтрофилы сегментоядерные, 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73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47-72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Эозинофилы, 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5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1-5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Базофилы, 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0-1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Лимфоциты, 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34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19-37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Моноциты, 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2-10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СОЭ, мм/ч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33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м. 2-10</w:t>
            </w:r>
          </w:p>
        </w:tc>
        <w:tc>
          <w:tcPr>
            <w:tcW w:type="dxa" w:w="3408"/>
          </w:tcPr>
          <w:p/>
        </w:tc>
        <w:tc>
          <w:tcPr>
            <w:tcW w:type="dxa" w:w="3408"/>
          </w:tcPr>
          <w:p/>
        </w:tc>
      </w:tr>
    </w:tbl>
    <w:p/>
    <w:p>
      <w:pPr>
        <w:pStyle w:val="Heading3"/>
      </w:pPr>
      <w:r>
        <w:t>3.2. Общий анализ мокроты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Показатель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Результат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Нормальные значения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Количество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80 мл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10-100 в сутки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Запах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Цвет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кровянистый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бесцветный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Характер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Слизисто-гнойный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слизистый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Примеси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Консистенция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вязкая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жидкая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Эпителий плоский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7-8 в п/зр.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&lt; 25 кл.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Эпителий альвеолярный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3-4 в п/зр.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Волокна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Лейкоциты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6-7 в п/зр.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Эритроциты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35-40 в п/зр.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Эозинофилы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Микобактерии туберкулеза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 обнаружены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Прочая флора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Спирали Куршмана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Кристаллы Шарко – Лейдена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Клетки с признаками атипии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обнаружены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</w:tr>
    </w:tbl>
    <w:p/>
    <w:p>
      <w:pPr>
        <w:pStyle w:val="Heading3"/>
      </w:pPr>
      <w:r>
        <w:t>3.3. Определение D-димера в сыворотке крови</w:t>
      </w:r>
    </w:p>
    <w:p>
      <w:pPr>
        <w:spacing w:after="58"/>
      </w:pPr>
      <w:r>
        <w:rPr>
          <w:b w:val="0"/>
          <w:i w:val="0"/>
        </w:rPr>
        <w:t>D-димер – 120 мкг/л (пороговое значение ≤ 500 мкг/л)</w:t>
      </w:r>
    </w:p>
    <w:p>
      <w:pPr>
        <w:pStyle w:val="Heading3"/>
      </w:pPr>
      <w:r>
        <w:t>3.6. Определение гликированного гемоглобина</w:t>
      </w:r>
    </w:p>
    <w:p>
      <w:pPr>
        <w:spacing w:after="58"/>
      </w:pPr>
      <w:r>
        <w:rPr>
          <w:b w:val="0"/>
          <w:i w:val="0"/>
        </w:rPr>
        <w:t>5,9 % (норма до 7%)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постановки диагноза данному пациенту в амбулаторных условиях необходимо выполнить инструментальное исследование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ультразвуковое исследование органов брюшной полости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спирометрию с тестом обратимости бронхиальной обструкции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ультразвуковое исследование плевральных полостей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электрокардиографию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фиброгастродуоденоскопию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рентгенографию органов грудной клетки в двух проекциях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спирометрию с тестом обратимости бронхиальной обструкции; электрокардиографию; рентгенографию органов грудной клетки в двух проекциях</w:t>
      </w:r>
    </w:p>
    <w:p>
      <w:pPr>
        <w:ind w:left="504"/>
      </w:pPr>
      <w:r>
        <w:rPr>
          <w:b w:val="0"/>
          <w:i/>
        </w:rPr>
        <w:t>Спирометрия является основным методом диагностики и документирования изменений легочной функции при подозрении на ХОБЛ. В данном случае с учетом одышки необходимо оценить функцию внешнего дыхания пациента.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Рак легкого, 2018</w:t>
        </w:r>
      </w:hyperlink>
      <w:r>
        <w:rPr>
          <w:b w:val="0"/>
          <w:i/>
        </w:rPr>
        <w:br/>
        <w:br/>
        <w:t>(Клинические рекомендации Российского респираторного общества "Хроническая обструктивная болезнь легких", 2019, Раздел Диагностика, стр. 15)</w:t>
      </w:r>
    </w:p>
    <w:p>
      <w:pPr>
        <w:ind w:left="504"/>
      </w:pPr>
      <w:r>
        <w:rPr>
          <w:b w:val="0"/>
          <w:i/>
        </w:rPr>
        <w:t>Для проведения дифференциальной диагностики необходимо провести электрокардиографическое исследование, чтобы исключить патологию сердечно-сосудистой системы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Рак легкого, 2018</w:t>
        </w:r>
      </w:hyperlink>
      <w:r>
        <w:rPr>
          <w:b w:val="0"/>
          <w:i/>
        </w:rPr>
        <w:br/>
        <w:br/>
        <w:t>(Клинические рекомендации Российского респираторного общества "Хроническая обструктивная болезнь легких", 2019, Раздел Диагностика, стр. 18)</w:t>
      </w:r>
    </w:p>
    <w:p>
      <w:pPr>
        <w:ind w:left="504"/>
      </w:pPr>
      <w:r>
        <w:rPr>
          <w:b w:val="0"/>
          <w:i/>
        </w:rPr>
        <w:t>Необходима для визуализации легочных полей при учете респираторных симптомов (кашель, локальные перкуторные и аускультативные изменения).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Рак легкого, 2018</w:t>
        </w:r>
      </w:hyperlink>
      <w:r>
        <w:rPr>
          <w:b w:val="0"/>
          <w:i/>
        </w:rPr>
        <w:br/>
        <w:br/>
        <w:t>(Клинические рекомендации Министерства здравоохранения Российской Федерации "Рак легкого", 2018 год, Раздел Диагностика, Инструментальная диагностика, стр.15)</w:t>
      </w:r>
    </w:p>
    <w:p>
      <w:pPr>
        <w:pStyle w:val="Heading2"/>
      </w:pPr>
      <w:r>
        <w:t>5. Результаты инструментальных исследований</w:t>
      </w:r>
    </w:p>
    <w:p>
      <w:pPr>
        <w:pStyle w:val="Heading3"/>
      </w:pPr>
      <w:r>
        <w:t>5.1. Рентгенография органов грудной клетки в двух проекциях</w:t>
      </w:r>
    </w:p>
    <w:p>
      <w:r>
        <w:drawing>
          <wp:inline xmlns:a="http://schemas.openxmlformats.org/drawingml/2006/main" xmlns:pic="http://schemas.openxmlformats.org/drawingml/2006/picture">
            <wp:extent cx="5303520" cy="2962513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d9498a4f141b650783a29972baa427c14f615cf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9625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Рентгенография органов грудной клетки в двух проекциях</w:t>
      </w:r>
    </w:p>
    <w:p>
      <w:pPr>
        <w:spacing w:after="58"/>
      </w:pPr>
      <w:r>
        <w:rPr>
          <w:b w:val="0"/>
          <w:i w:val="0"/>
        </w:rPr>
        <w:t>{nbsp}</w:t>
      </w:r>
    </w:p>
    <w:p>
      <w:pPr>
        <w:spacing w:after="58"/>
      </w:pPr>
      <w:r>
        <w:rPr>
          <w:b w:val="0"/>
          <w:i w:val="0"/>
        </w:rPr>
        <w:t>*Заключение:* На рентгенограмме органов грудной клетки выявляется гомогенное затемнение в верхней доле левого легкого.</w:t>
      </w:r>
    </w:p>
    <w:p>
      <w:pPr>
        <w:pStyle w:val="Heading3"/>
      </w:pPr>
      <w:r>
        <w:t>5.2. Спирометрия с тестом обратимости бронхиальной обструкции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04"/>
        <w:gridCol w:w="1704"/>
        <w:gridCol w:w="1704"/>
        <w:gridCol w:w="1704"/>
        <w:gridCol w:w="1704"/>
        <w:gridCol w:w="1704"/>
      </w:tblGrid>
      <w:tr>
        <w:tc>
          <w:tcPr>
            <w:tcW w:type="dxa" w:w="1704"/>
          </w:tcPr>
          <w:p>
            <w:r>
              <w:rPr>
                <w:b/>
                <w:i w:val="0"/>
              </w:rPr>
              <w:t>Показатель</w:t>
            </w:r>
          </w:p>
        </w:tc>
        <w:tc>
          <w:tcPr>
            <w:tcW w:type="dxa" w:w="1704"/>
          </w:tcPr>
          <w:p>
            <w:r>
              <w:rPr>
                <w:b/>
                <w:i w:val="0"/>
              </w:rPr>
              <w:t>До пробы с бронхолитиком</w:t>
            </w:r>
          </w:p>
        </w:tc>
        <w:tc>
          <w:tcPr>
            <w:tcW w:type="dxa" w:w="1704"/>
          </w:tcPr>
          <w:p>
            <w:r>
              <w:rPr>
                <w:b/>
                <w:i w:val="0"/>
              </w:rPr>
              <w:t>После пробы с бронхолитиком</w:t>
            </w:r>
          </w:p>
        </w:tc>
        <w:tc>
          <w:tcPr>
            <w:tcW w:type="dxa" w:w="1704"/>
          </w:tcPr>
          <w:p>
            <w:r>
              <w:rPr>
                <w:b/>
                <w:i w:val="0"/>
              </w:rPr>
              <w:t>Должный/Фактич.</w:t>
            </w:r>
          </w:p>
        </w:tc>
        <w:tc>
          <w:tcPr>
            <w:tcW w:type="dxa" w:w="1704"/>
          </w:tcPr>
          <w:p>
            <w:r>
              <w:rPr>
                <w:b/>
                <w:i w:val="0"/>
              </w:rPr>
              <w:t>% от должных значений</w:t>
            </w:r>
          </w:p>
        </w:tc>
        <w:tc>
          <w:tcPr>
            <w:tcW w:type="dxa" w:w="1704"/>
          </w:tcPr>
          <w:p>
            <w:r>
              <w:rPr>
                <w:b/>
                <w:i w:val="0"/>
              </w:rPr>
              <w:t>Фактич.</w:t>
            </w:r>
          </w:p>
        </w:tc>
      </w:tr>
      <w:tr>
        <w:tc>
          <w:tcPr>
            <w:tcW w:type="dxa" w:w="1704"/>
          </w:tcPr>
          <w:p>
            <w:r>
              <w:rPr>
                <w:b w:val="0"/>
                <w:i w:val="0"/>
              </w:rPr>
              <w:t>% от должных значений</w:t>
            </w:r>
          </w:p>
        </w:tc>
        <w:tc>
          <w:tcPr>
            <w:tcW w:type="dxa" w:w="1704"/>
          </w:tcPr>
          <w:p>
            <w:r>
              <w:rPr>
                <w:b w:val="0"/>
                <w:i w:val="0"/>
              </w:rPr>
              <w:t>% изменений</w:t>
            </w:r>
          </w:p>
        </w:tc>
        <w:tc>
          <w:tcPr>
            <w:tcW w:type="dxa" w:w="1704"/>
          </w:tcPr>
          <w:p>
            <w:r>
              <w:rPr>
                <w:b w:val="0"/>
                <w:i w:val="0"/>
              </w:rPr>
              <w:t>ФЖЕЛ, л</w:t>
            </w:r>
          </w:p>
        </w:tc>
        <w:tc>
          <w:tcPr>
            <w:tcW w:type="dxa" w:w="1704"/>
          </w:tcPr>
          <w:p>
            <w:r>
              <w:rPr>
                <w:b w:val="0"/>
                <w:i w:val="0"/>
              </w:rPr>
              <w:t>4,6/3,5</w:t>
            </w:r>
          </w:p>
        </w:tc>
        <w:tc>
          <w:tcPr>
            <w:tcW w:type="dxa" w:w="1704"/>
          </w:tcPr>
          <w:p>
            <w:r>
              <w:rPr>
                <w:b w:val="0"/>
                <w:i w:val="0"/>
              </w:rPr>
              <w:t>76</w:t>
            </w:r>
          </w:p>
        </w:tc>
        <w:tc>
          <w:tcPr>
            <w:tcW w:type="dxa" w:w="1704"/>
          </w:tcPr>
          <w:p>
            <w:r>
              <w:rPr>
                <w:b w:val="0"/>
                <w:i w:val="0"/>
              </w:rPr>
              <w:t>3,6</w:t>
            </w:r>
          </w:p>
        </w:tc>
      </w:tr>
      <w:tr>
        <w:tc>
          <w:tcPr>
            <w:tcW w:type="dxa" w:w="1704"/>
          </w:tcPr>
          <w:p>
            <w:r>
              <w:rPr>
                <w:b w:val="0"/>
                <w:i w:val="0"/>
              </w:rPr>
              <w:t>78</w:t>
            </w:r>
          </w:p>
        </w:tc>
        <w:tc>
          <w:tcPr>
            <w:tcW w:type="dxa" w:w="1704"/>
          </w:tcPr>
          <w:p/>
        </w:tc>
        <w:tc>
          <w:tcPr>
            <w:tcW w:type="dxa" w:w="1704"/>
          </w:tcPr>
          <w:p>
            <w:r>
              <w:rPr>
                <w:b w:val="0"/>
                <w:i w:val="0"/>
              </w:rPr>
              <w:t>ОФВ1, л/с</w:t>
            </w:r>
          </w:p>
        </w:tc>
        <w:tc>
          <w:tcPr>
            <w:tcW w:type="dxa" w:w="1704"/>
          </w:tcPr>
          <w:p>
            <w:r>
              <w:rPr>
                <w:b w:val="0"/>
                <w:i w:val="0"/>
              </w:rPr>
              <w:t>3,5/1,86</w:t>
            </w:r>
          </w:p>
        </w:tc>
        <w:tc>
          <w:tcPr>
            <w:tcW w:type="dxa" w:w="1704"/>
          </w:tcPr>
          <w:p>
            <w:r>
              <w:rPr>
                <w:b w:val="0"/>
                <w:i w:val="0"/>
              </w:rPr>
              <w:t>53</w:t>
            </w:r>
          </w:p>
        </w:tc>
        <w:tc>
          <w:tcPr>
            <w:tcW w:type="dxa" w:w="1704"/>
          </w:tcPr>
          <w:p>
            <w:r>
              <w:rPr>
                <w:b w:val="0"/>
                <w:i w:val="0"/>
              </w:rPr>
              <w:t>1,90</w:t>
            </w:r>
          </w:p>
        </w:tc>
      </w:tr>
      <w:tr>
        <w:tc>
          <w:tcPr>
            <w:tcW w:type="dxa" w:w="1704"/>
          </w:tcPr>
          <w:p>
            <w:r>
              <w:rPr>
                <w:b w:val="0"/>
                <w:i w:val="0"/>
              </w:rPr>
              <w:t>54</w:t>
            </w:r>
          </w:p>
        </w:tc>
        <w:tc>
          <w:tcPr>
            <w:tcW w:type="dxa" w:w="1704"/>
          </w:tcPr>
          <w:p>
            <w:r>
              <w:rPr>
                <w:b w:val="0"/>
                <w:i w:val="0"/>
              </w:rPr>
              <w:t>2</w:t>
            </w:r>
          </w:p>
        </w:tc>
        <w:tc>
          <w:tcPr>
            <w:tcW w:type="dxa" w:w="1704"/>
          </w:tcPr>
          <w:p>
            <w:r>
              <w:rPr>
                <w:b w:val="0"/>
                <w:i w:val="0"/>
              </w:rPr>
              <w:t>ОФВ1/ФЖЕЛ, %</w:t>
            </w:r>
          </w:p>
        </w:tc>
        <w:tc>
          <w:tcPr>
            <w:tcW w:type="dxa" w:w="1704"/>
          </w:tcPr>
          <w:p/>
        </w:tc>
        <w:tc>
          <w:tcPr>
            <w:tcW w:type="dxa" w:w="1704"/>
          </w:tcPr>
          <w:p>
            <w:r>
              <w:rPr>
                <w:b w:val="0"/>
                <w:i w:val="0"/>
              </w:rPr>
              <w:t>53</w:t>
            </w:r>
          </w:p>
        </w:tc>
        <w:tc>
          <w:tcPr>
            <w:tcW w:type="dxa" w:w="1704"/>
          </w:tcPr>
          <w:p/>
        </w:tc>
      </w:tr>
      <w:tr>
        <w:tc>
          <w:tcPr>
            <w:tcW w:type="dxa" w:w="1704"/>
          </w:tcPr>
          <w:p>
            <w:r>
              <w:rPr>
                <w:b w:val="0"/>
                <w:i w:val="0"/>
              </w:rPr>
              <w:t>53</w:t>
            </w:r>
          </w:p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</w:tr>
    </w:tbl>
    <w:p/>
    <w:p>
      <w:pPr>
        <w:pStyle w:val="Heading3"/>
      </w:pPr>
      <w:r>
        <w:t>5.3. Электрокардиография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</w:tcPr>
          <w:p>
            <w:r>
              <w:rPr>
                <w:b/>
                <w:i w:val="0"/>
              </w:rPr>
              <w:t>Ритм</w:t>
            </w:r>
          </w:p>
        </w:tc>
        <w:tc>
          <w:tcPr>
            <w:tcW w:type="dxa" w:w="5112"/>
          </w:tcPr>
          <w:p>
            <w:r>
              <w:rPr>
                <w:b/>
                <w:i w:val="0"/>
              </w:rPr>
              <w:t>Синусовая тахикардия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ЧСС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86 уд/мин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ЭОС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Норма</w:t>
            </w:r>
          </w:p>
        </w:tc>
      </w:tr>
    </w:tbl>
    <w:p/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Учитывая клиническую картину данного пациента, а также данные лабораторных и инструментальных методов обследования, можно выставить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Центральный рак верхней доли левого легкого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Внебольничная пневмония с локализацией в верхней доле левого легкого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Туберкулез верхней доли левого легкого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Периферический рак верхней доли левого легкого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Центральный рак верхней доли левого легкого</w:t>
      </w:r>
    </w:p>
    <w:p>
      <w:pPr>
        <w:ind w:left="504"/>
      </w:pPr>
      <w:r>
        <w:rPr>
          <w:b w:val="0"/>
          <w:i/>
        </w:rPr>
        <w:t>Учитывая клинические данные - кашель, кровохарканье, а также рентгенологические признаки - гомогенное затемнение в средней доле левого легкого, можно выставить данный диагноз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Рак легкого, 2018</w:t>
        </w:r>
      </w:hyperlink>
      <w:r>
        <w:rPr>
          <w:b w:val="0"/>
          <w:i/>
        </w:rPr>
        <w:br/>
        <w:br/>
        <w:t>(Клинические рекомендации Министерства здравоохранения Российской Федерации "Рак легкого", 2018 год, Раздел Диагностика, стр.13-14)</w:t>
      </w:r>
    </w:p>
    <w:p>
      <w:pPr>
        <w:pStyle w:val="Heading2"/>
      </w:pPr>
      <w:r>
        <w:t>7. Диагноз</w:t>
      </w:r>
    </w:p>
    <w:p>
      <w:pPr>
        <w:pStyle w:val="Heading3"/>
      </w:pPr>
      <w:r>
        <w:t>7.1. Центральный рак верхней доли левого легкого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Для подтверждения основного диагноза необходимо назначить бронхоскопию 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торакоскопию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КТ органов грудной клетки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пульмонангиографию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исследование диффузионной способности легких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КТ органов грудной клетки</w:t>
      </w:r>
    </w:p>
    <w:p>
      <w:pPr>
        <w:ind w:left="504"/>
      </w:pPr>
      <w:r>
        <w:rPr>
          <w:b w:val="0"/>
          <w:i/>
        </w:rPr>
        <w:t>Метод КТ является основным в первичной диагностике местной распространенности опухолевого процесса в грудной клетке, при динамическом наблюдении после хирургического, лучевого и химиотерапевтического лечения.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Рак легкого, 2018</w:t>
        </w:r>
      </w:hyperlink>
      <w:r>
        <w:rPr>
          <w:b w:val="0"/>
          <w:i/>
        </w:rPr>
        <w:br/>
        <w:br/>
        <w:t>(Клинические рекомендации Министерства здравоохранения Российской Федерации "Рак легкого", 2018 год, Раздел Диагностика, Инструментальная диагностика, стр.15)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К характерным рентгенологическим признакам центрального рака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инфильтрацию легочной ткани, corona maligna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появление лучистости, полицикличность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ателектаз, гиповентиляцию, экспираторную эмфизему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нечеткость, размытость контуров тени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ателектаз, гиповентиляцию, экспираторную эмфизему</w:t>
      </w:r>
    </w:p>
    <w:p>
      <w:pPr>
        <w:ind w:left="504"/>
      </w:pPr>
      <w:r>
        <w:rPr>
          <w:b w:val="0"/>
          <w:i/>
        </w:rPr>
        <w:t>Решающее значение в рентгенологической диагностике центрального рака лёгкого имеют проявления стеноза бронха (сегментарного или долевого): экспираторная эмфизема, гиповентиляция, ателектаз, отчётливо видимые на обзорных рентгенограммах в прямой и боковой проекциях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Рак легкого, 2018</w:t>
        </w:r>
      </w:hyperlink>
      <w:r>
        <w:rPr>
          <w:b w:val="0"/>
          <w:i/>
        </w:rPr>
        <w:br/>
        <w:br/>
        <w:t>(Клинические рекомендации Министерства здравоохранения Российской Федерации "Рак легкого", 2018 год, Раздел Диагностика, Инструментальная диагностика, стр. 14)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Госпитализация пациенту показана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отделение пульмонологии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отделение торакальной хирургии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отделение терапии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фтизиатрический стационар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отделение торакальной хирургии</w:t>
      </w:r>
    </w:p>
    <w:p>
      <w:pPr>
        <w:ind w:left="504"/>
      </w:pPr>
      <w:r>
        <w:rPr>
          <w:b w:val="0"/>
          <w:i/>
        </w:rPr>
        <w:t>Для уточнения диагноза, морфологической верификации, стадирования и выбора дальнейшей лечебной тактики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Рак легкого, 2018</w:t>
        </w:r>
      </w:hyperlink>
      <w:r>
        <w:rPr>
          <w:b w:val="0"/>
          <w:i/>
        </w:rPr>
        <w:br/>
        <w:br/>
        <w:t>(Клинические рекомендации Министерства здравоохранения Российской Федерации "Рак легкого", 2018 год, Раздел Диагностика, Иная диагностика, стр. 18)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В первую очередь данному пациенту необходимо назначить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инфузионную терапию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бронхолитическую терапию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терапию антигистаминными препаратами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антибактериальную терапию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антибактериальную терапию</w:t>
      </w:r>
    </w:p>
    <w:p>
      <w:pPr>
        <w:ind w:left="504"/>
      </w:pPr>
      <w:r>
        <w:rPr>
          <w:b w:val="0"/>
          <w:i/>
        </w:rPr>
        <w:t>Показанием к применению антибиотиков является слизисто-гнойный характер мокроты, повышение температуры тела.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Рак легкого, 2018</w:t>
        </w:r>
      </w:hyperlink>
      <w:r>
        <w:rPr>
          <w:b w:val="0"/>
          <w:i/>
        </w:rPr>
        <w:br/>
        <w:br/>
        <w:t>(Клинические рекомендации Министерства здравоохранения Российской Федерации "Рак легкого", 2018 год, Раздел Лечение, стр. 18)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К дальнейшей тактике после окончания курса антибиотикотерапии и отсутствии данных за отдаленное метастазирование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лучевую терапию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хирургическое лечение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паллиативное лечение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химиотерапию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хирургическое лечение</w:t>
      </w:r>
    </w:p>
    <w:p>
      <w:pPr>
        <w:ind w:left="504"/>
      </w:pPr>
      <w:r>
        <w:rPr>
          <w:b w:val="0"/>
          <w:i/>
        </w:rPr>
        <w:t>Основным методом лечения рака легкого является хирургический. Объем операции определяется распространенностью опухолевого процесса, функциональным состояние пациента.</w:t>
        <w:br/>
        <w:br/>
        <w:t>Хирургическое лечение больных раком легкого подразумевает удаление органа или его анатомическую и неанатомическую резекцию с очагом болезни, внутрилегочными, корневыми и средостенными лимфатическими узлами.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Рак легкого, 2018</w:t>
        </w:r>
      </w:hyperlink>
      <w:r>
        <w:rPr>
          <w:b w:val="0"/>
          <w:i/>
        </w:rPr>
        <w:br/>
        <w:br/>
        <w:t>(Клинические рекомендации Министерства здравоохранения Российской Федерации "Рак легкого", 2018 год, Раздел Лечение, стр. 18)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У пациента с раком легких нужно обращать внимание в первую очередь на +______________________________________________+ лимфатические узлы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шейные и надключичные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подключичные и паховые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поднижнечелюстные и подключичные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паховые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шейные и надключичные</w:t>
      </w:r>
    </w:p>
    <w:p>
      <w:pPr>
        <w:ind w:left="504"/>
      </w:pPr>
      <w:r>
        <w:rPr>
          <w:b w:val="0"/>
          <w:i/>
        </w:rPr>
        <w:t>Рекомендуется тщательный физикальный осмотр, включающий пальпацию шейно-надключичных зон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Рак легкого, 2018</w:t>
        </w:r>
      </w:hyperlink>
      <w:r>
        <w:rPr>
          <w:b w:val="0"/>
          <w:i/>
        </w:rPr>
        <w:br/>
        <w:br/>
        <w:t>(Клинические рекомендации Министерства здравоохранения Российской Федерации "Рак легкого", 2018 год, Раздел Диагностика, Физикальное обследование, стр. 14)</w:t>
      </w:r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Методом раннего активного выявления рака легкого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флюорография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пикфлоуметрия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проба Манту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спирография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флюорография</w:t>
      </w:r>
    </w:p>
    <w:p>
      <w:pPr>
        <w:ind w:left="504"/>
      </w:pPr>
      <w:r>
        <w:rPr>
          <w:b w:val="0"/>
          <w:i/>
        </w:rPr>
        <w:t>Методом раннего активного выявления рака легкого является флюорографическое исследование</w:t>
        <w:br/>
        <w:br/>
        <w:t>(Национальное руководство по пульмонологии под ред. А.Г. Чучалина, 2009 г, раздел диагностика, стр. 460)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Опухоль-ассоциированные маркеры используются для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определения объема хирургического вмешательства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определения гистологического варианта опухоли без морфологической верификации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определения размеров опухоли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оценки эффективности проводимой терапии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оценки эффективности проводимой терапии</w:t>
      </w:r>
    </w:p>
    <w:p>
      <w:pPr>
        <w:ind w:left="504"/>
      </w:pPr>
      <w:r>
        <w:rPr>
          <w:b w:val="0"/>
          <w:i/>
        </w:rPr>
        <w:t>Опухолевые маркеры могут помочь в дифференциальной диагностике и оценке эффективности проводимого лечения.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Рак легкого, 2018</w:t>
        </w:r>
      </w:hyperlink>
      <w:r>
        <w:rPr>
          <w:b w:val="0"/>
          <w:i/>
        </w:rPr>
        <w:br/>
        <w:br/>
        <w:t>(Клинические рекомендации Министерства здравоохранения Российской Федерации "Рак легкого", 2018 год, Раздел Диагностика, Иная диагностика, стр. 18)</w:t>
      </w:r>
    </w:p>
    <w:p>
      <w:pPr>
        <w:pStyle w:val="Heading2"/>
      </w:pPr>
      <w:r>
        <w:t>5. Лечение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После радикального лечения динамическое наблюдение, а также проведение МРТ головного мозга и сканирования костей скелета показано _____ раз/а в год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</w:t>
      </w:r>
    </w:p>
    <w:p>
      <w:pPr>
        <w:ind w:left="504"/>
      </w:pPr>
      <w:r>
        <w:rPr>
          <w:b w:val="0"/>
          <w:i/>
        </w:rPr>
        <w:t>Рекомендуется соблюдать следующую периодичность и методы наблюдения после завершения лечения по поводу рака легкого: наблюдение пациентов в удовлетворительном состоянии после радикального лечения НМРЛ следует проводить каждые 3 месяца в течение первых трех лет и каждые 6 месяцев на четвертом и пятом году наблюдения с оценкой физикального состояния, УЗ исследования и выполнением рентгенографии грудной клетки/компьютерной томографии. Рекомендуется проведение МРТ головного мозга, сканирования скелета – 1 раз в год. Через 5 лет после операции обследование проводится один раз в год.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Рак легкого, 2018</w:t>
        </w:r>
      </w:hyperlink>
      <w:r>
        <w:rPr>
          <w:b w:val="0"/>
          <w:i/>
        </w:rPr>
        <w:br/>
        <w:br/>
        <w:t>(Клинические рекомендации Министерства здравоохранения Российской Федерации "Рак легкого", 2018 год, Раздел Профилактика и диспансерное наблюдение, стр. 39)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cr_900" TargetMode="External"/><Relationship Id="rId10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